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33" w:rsidRPr="00363554" w:rsidRDefault="00197C33" w:rsidP="00AE3028">
      <w:pPr>
        <w:pStyle w:val="Heading3"/>
        <w:spacing w:before="120" w:beforeAutospacing="0" w:after="12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/>
          <w:sz w:val="32"/>
        </w:rPr>
        <w:t>Program Plan for Master’s in Public Relations and Advertising</w:t>
      </w:r>
    </w:p>
    <w:p w:rsidR="00197C33" w:rsidRDefault="00363554" w:rsidP="00AE3028">
      <w:pPr>
        <w:pStyle w:val="NormalWeb"/>
        <w:spacing w:before="120" w:beforeAutospacing="0" w:after="120" w:afterAutospacing="0"/>
        <w:rPr>
          <w:rFonts w:asciiTheme="majorBidi" w:hAnsiTheme="majorBidi"/>
          <w:b/>
          <w:sz w:val="28"/>
        </w:rPr>
      </w:pPr>
      <w:r>
        <w:rPr>
          <w:rFonts w:asciiTheme="majorBidi" w:hAnsiTheme="majorBidi"/>
          <w:b/>
          <w:sz w:val="28"/>
        </w:rPr>
        <w:t>Faculty of Mass Communication</w:t>
      </w:r>
    </w:p>
    <w:p w:rsidR="00BA10F9" w:rsidRPr="002A7727" w:rsidRDefault="00BA10F9" w:rsidP="00AE3028">
      <w:pPr>
        <w:pStyle w:val="NormalWeb"/>
        <w:spacing w:before="120" w:beforeAutospacing="0" w:after="120" w:afterAutospacing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16"/>
      </w:tblGrid>
      <w:tr w:rsidR="00197C33" w:rsidRPr="00947315" w:rsidTr="00BA10F9">
        <w:tc>
          <w:tcPr>
            <w:tcW w:w="14220" w:type="dxa"/>
            <w:shd w:val="clear" w:color="auto" w:fill="FDE9D9" w:themeFill="accent6" w:themeFillTint="33"/>
            <w:vAlign w:val="center"/>
            <w:hideMark/>
          </w:tcPr>
          <w:p w:rsidR="00197C33" w:rsidRPr="00947315" w:rsidRDefault="00197C33" w:rsidP="00AE3028">
            <w:pPr>
              <w:pStyle w:val="NormalWeb"/>
              <w:spacing w:before="120" w:beforeAutospacing="0" w:after="12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Master’s Program in Mass Communication, majoring in Public Relations and Advertising</w:t>
            </w:r>
          </w:p>
        </w:tc>
      </w:tr>
      <w:tr w:rsidR="00197C33" w:rsidRPr="00C56908" w:rsidTr="00BA10F9">
        <w:tc>
          <w:tcPr>
            <w:tcW w:w="14220" w:type="dxa"/>
            <w:shd w:val="clear" w:color="auto" w:fill="DAEEF3" w:themeFill="accent5" w:themeFillTint="33"/>
            <w:vAlign w:val="center"/>
            <w:hideMark/>
          </w:tcPr>
          <w:p w:rsidR="00197C33" w:rsidRPr="00C56908" w:rsidRDefault="00947315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First: Program Mission</w:t>
            </w:r>
          </w:p>
        </w:tc>
      </w:tr>
      <w:tr w:rsidR="00197C33" w:rsidRPr="00363554" w:rsidTr="008531F5">
        <w:tc>
          <w:tcPr>
            <w:tcW w:w="14220" w:type="dxa"/>
            <w:vAlign w:val="center"/>
            <w:hideMark/>
          </w:tcPr>
          <w:p w:rsidR="00197C33" w:rsidRDefault="00197C33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/>
                <w:b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 provide high-quality education and research in the fields of Public Relations and Advertising, while adhering to the principles of sustainable development and community service.</w:t>
            </w:r>
          </w:p>
          <w:p w:rsidR="00BA10F9" w:rsidRPr="00363554" w:rsidRDefault="00BA10F9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</w:tr>
      <w:tr w:rsidR="00197C33" w:rsidRPr="00363554" w:rsidTr="00BA10F9">
        <w:tc>
          <w:tcPr>
            <w:tcW w:w="14220" w:type="dxa"/>
            <w:shd w:val="clear" w:color="auto" w:fill="DAEEF3" w:themeFill="accent5" w:themeFillTint="33"/>
            <w:vAlign w:val="center"/>
            <w:hideMark/>
          </w:tcPr>
          <w:p w:rsidR="00197C33" w:rsidRPr="00C56908" w:rsidRDefault="00C56908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Second: Program Aims</w:t>
            </w:r>
          </w:p>
        </w:tc>
      </w:tr>
      <w:tr w:rsidR="00197C33" w:rsidRPr="00363554" w:rsidTr="008531F5">
        <w:tc>
          <w:tcPr>
            <w:tcW w:w="14220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numPr>
                <w:ilvl w:val="0"/>
                <w:numId w:val="30"/>
              </w:numPr>
              <w:spacing w:before="0" w:beforeAutospacing="0" w:after="120" w:afterAutospacing="0"/>
              <w:ind w:left="45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 establish an educational environment dedicated to research in public relations and advertising, adhering to quality standards and academic accreditation.</w:t>
            </w:r>
          </w:p>
          <w:p w:rsidR="00197C33" w:rsidRPr="00C56908" w:rsidRDefault="00197C33" w:rsidP="00AE3028">
            <w:pPr>
              <w:pStyle w:val="NormalWeb"/>
              <w:numPr>
                <w:ilvl w:val="0"/>
                <w:numId w:val="30"/>
              </w:numPr>
              <w:spacing w:before="0" w:beforeAutospacing="0" w:after="120" w:afterAutospacing="0"/>
              <w:ind w:left="454" w:hanging="284"/>
              <w:jc w:val="both"/>
              <w:rPr>
                <w:rStyle w:val="Strong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 enhance the scientific knowledge and research skills of graduate students in public relations and advertising, aligning with recognized quality standards.</w:t>
            </w:r>
          </w:p>
          <w:p w:rsidR="00197C33" w:rsidRPr="00C56908" w:rsidRDefault="00197C33" w:rsidP="00AE3028">
            <w:pPr>
              <w:pStyle w:val="NormalWeb"/>
              <w:numPr>
                <w:ilvl w:val="0"/>
                <w:numId w:val="30"/>
              </w:numPr>
              <w:spacing w:before="0" w:beforeAutospacing="0" w:after="120" w:afterAutospacing="0"/>
              <w:ind w:left="454" w:hanging="284"/>
              <w:jc w:val="both"/>
              <w:rPr>
                <w:rStyle w:val="Strong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 strengthen community partnerships with national bodies and institutions involved in the practical applications of research within public relations and advertising.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0"/>
              </w:numPr>
              <w:spacing w:before="0" w:beforeAutospacing="0" w:after="120" w:afterAutospacing="0"/>
              <w:ind w:left="45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 qualify research cadres to provide consultations, conduct studies, and deliver research services relevant to community needs in the domains of public relations and advertising.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0"/>
      </w:tblGrid>
      <w:tr w:rsidR="00197C33" w:rsidRPr="00B35CCE" w:rsidTr="00BA10F9">
        <w:tc>
          <w:tcPr>
            <w:tcW w:w="14220" w:type="dxa"/>
            <w:shd w:val="clear" w:color="auto" w:fill="DAEEF3" w:themeFill="accent5" w:themeFillTint="33"/>
            <w:vAlign w:val="center"/>
            <w:hideMark/>
          </w:tcPr>
          <w:p w:rsidR="00197C33" w:rsidRPr="00B35CCE" w:rsidRDefault="00197C33" w:rsidP="00AE3028">
            <w:pPr>
              <w:pStyle w:val="NormalWeb"/>
              <w:spacing w:before="120" w:beforeAutospacing="0" w:after="12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Attributes of Graduates from a Master’s Program in Mass Communication, majoring in Public Relations and Advertising</w:t>
            </w:r>
          </w:p>
        </w:tc>
      </w:tr>
      <w:tr w:rsidR="00197C33" w:rsidRPr="00363554" w:rsidTr="00FF3C40">
        <w:tc>
          <w:tcPr>
            <w:tcW w:w="14220" w:type="dxa"/>
            <w:vAlign w:val="center"/>
            <w:hideMark/>
          </w:tcPr>
          <w:p w:rsidR="00197C33" w:rsidRPr="00BA10F9" w:rsidRDefault="00197C33" w:rsidP="00AE3028">
            <w:pPr>
              <w:pStyle w:val="NormalWeb"/>
              <w:spacing w:before="0" w:beforeAutospacing="0" w:after="120" w:afterAutospacing="0"/>
              <w:rPr>
                <w:rFonts w:asciiTheme="majorBidi" w:hAnsiTheme="majorBidi" w:cstheme="majorBidi"/>
                <w:bCs/>
              </w:rPr>
            </w:pPr>
            <w:r w:rsidRPr="00BA10F9">
              <w:rPr>
                <w:rStyle w:val="Strong"/>
                <w:rFonts w:asciiTheme="majorBidi" w:hAnsiTheme="majorBidi"/>
                <w:bCs w:val="0"/>
              </w:rPr>
              <w:t>Upon completing the program successfully, graduates are expected to: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Serve as academic instructors specializing in Public Relations and Advertising within mass communication colleges and departments at local and regional universities.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Work as public relations practitioners within research departments of public and private institutions and companies.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Excel as specialists in marketing and advertising research within advertising agencies.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Conduct quantitative and qualitative academic and applied research in the fields of public relations and advertising.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Implement marketing, public relations, and advertising research for public and private institutions.</w:t>
            </w:r>
          </w:p>
          <w:p w:rsidR="00197C33" w:rsidRPr="00363554" w:rsidRDefault="00197C33" w:rsidP="00AE3028">
            <w:pPr>
              <w:pStyle w:val="NormalWeb"/>
              <w:numPr>
                <w:ilvl w:val="0"/>
                <w:numId w:val="32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Conduct surveys and public opinion polling on topics and issues relevant to community interests and development needs.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8988"/>
      </w:tblGrid>
      <w:tr w:rsidR="0044071A" w:rsidRPr="006A6156" w:rsidTr="00BA10F9">
        <w:tc>
          <w:tcPr>
            <w:tcW w:w="9560" w:type="dxa"/>
            <w:gridSpan w:val="2"/>
            <w:shd w:val="clear" w:color="auto" w:fill="DAEEF3" w:themeFill="accent5" w:themeFillTint="33"/>
          </w:tcPr>
          <w:p w:rsidR="0044071A" w:rsidRPr="006A6156" w:rsidRDefault="0044071A" w:rsidP="0044071A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Program Intended Learning Outcomes (PILOs)</w:t>
            </w:r>
          </w:p>
        </w:tc>
      </w:tr>
      <w:tr w:rsidR="00C53BB6" w:rsidRPr="00363554" w:rsidTr="00BA10F9">
        <w:tc>
          <w:tcPr>
            <w:tcW w:w="9560" w:type="dxa"/>
            <w:gridSpan w:val="2"/>
            <w:shd w:val="clear" w:color="auto" w:fill="FDE9D9" w:themeFill="accent6" w:themeFillTint="33"/>
          </w:tcPr>
          <w:p w:rsidR="00C53BB6" w:rsidRPr="00255DBD" w:rsidRDefault="00C53BB6" w:rsidP="00AE302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8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Knowledge and Understanding</w:t>
            </w:r>
          </w:p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Upon successful completion of this program, graduates will be able to: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A1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Demonstrate a comprehensive understanding of research strategies and topics relevant to public relations and advertising.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lastRenderedPageBreak/>
              <w:t>A2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Describe the interconnections between societal issues and the domains of public relations, digital communication, and globalization.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A3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Explain contemporary communication theories that underpin public relations and advertising research.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P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A4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Identify the scientific methodological steps and statistical procedures necessary for conducting public relations and advertising research.</w:t>
            </w:r>
          </w:p>
        </w:tc>
      </w:tr>
      <w:tr w:rsidR="00C53BB6" w:rsidRPr="00363554" w:rsidTr="00BA10F9">
        <w:tc>
          <w:tcPr>
            <w:tcW w:w="9560" w:type="dxa"/>
            <w:gridSpan w:val="2"/>
            <w:shd w:val="clear" w:color="auto" w:fill="FDE9D9" w:themeFill="accent6" w:themeFillTint="33"/>
          </w:tcPr>
          <w:p w:rsidR="00C53BB6" w:rsidRPr="00012483" w:rsidRDefault="00C53BB6" w:rsidP="00AE302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8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Intellectual Skills</w:t>
            </w:r>
          </w:p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Upon successful completion of this program, graduates will be able to: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B1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Analyze societal issues and communication theories within the context of public relations, advertising, communication, and globalization.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B2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Propose research strategies and topics within the fields of digital communication, public relations, and advertising.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B3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Compare and contrast scientific methodologies and research tools applicable to conducting public relations and advertising studies.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B4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Interpret data and statistical findings derived from public relations and advertising research.</w:t>
            </w:r>
          </w:p>
        </w:tc>
      </w:tr>
      <w:tr w:rsidR="00C53BB6" w:rsidRPr="00363554" w:rsidTr="00BA10F9">
        <w:tc>
          <w:tcPr>
            <w:tcW w:w="9560" w:type="dxa"/>
            <w:gridSpan w:val="2"/>
            <w:shd w:val="clear" w:color="auto" w:fill="FDE9D9" w:themeFill="accent6" w:themeFillTint="33"/>
          </w:tcPr>
          <w:p w:rsidR="00C53BB6" w:rsidRPr="00012483" w:rsidRDefault="00C53BB6" w:rsidP="00AE302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8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Professional and Practical Skills</w:t>
            </w:r>
          </w:p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Upon successful completion of this program, graduates will be able to: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C1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Employ contemporary communication theories in crafting public relations and advertising research to effectively address societal issues.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C2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Apply public relations and advertising communication skills and strategies throughout the research and study implementation process.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C3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Conduct comprehensive research and studies within the fields of advertising, public relations, digital communication, and globalization.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C4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Master the use of statistical software and treatments appropriate for interpreting data and analyzing results derived from public relations and advertising research.</w:t>
            </w:r>
          </w:p>
        </w:tc>
      </w:tr>
      <w:tr w:rsidR="00C53BB6" w:rsidRPr="00363554" w:rsidTr="00BA10F9">
        <w:tc>
          <w:tcPr>
            <w:tcW w:w="9560" w:type="dxa"/>
            <w:gridSpan w:val="2"/>
            <w:shd w:val="clear" w:color="auto" w:fill="FDE9D9" w:themeFill="accent6" w:themeFillTint="33"/>
          </w:tcPr>
          <w:p w:rsidR="00C53BB6" w:rsidRPr="00FF3C40" w:rsidRDefault="00C53BB6" w:rsidP="00AE302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84" w:hanging="284"/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</w:rPr>
              <w:t>General and Transferable Skills:</w:t>
            </w:r>
          </w:p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Upon successful completion of this program, graduates will be able to: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D1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Engage in effective communication with individuals and stakeholders within the fields of public relations and advertising research applications.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D2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Participate proficiently in a research team to undertake studies pertinent to societal issues, communication, and globalization.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D3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Apply digital research methodologies and analytical techniques for the collection and interpretation of findings within public relations and advertising research.</w:t>
            </w:r>
          </w:p>
        </w:tc>
      </w:tr>
      <w:tr w:rsidR="00C53BB6" w:rsidRPr="00363554" w:rsidTr="00C53BB6">
        <w:tc>
          <w:tcPr>
            <w:tcW w:w="572" w:type="dxa"/>
          </w:tcPr>
          <w:p w:rsidR="00C53BB6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D4</w:t>
            </w:r>
          </w:p>
        </w:tc>
        <w:tc>
          <w:tcPr>
            <w:tcW w:w="8988" w:type="dxa"/>
            <w:vAlign w:val="center"/>
            <w:hideMark/>
          </w:tcPr>
          <w:p w:rsidR="00C53BB6" w:rsidRPr="00363554" w:rsidRDefault="00C53BB6" w:rsidP="00AE302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Adhere to research ethics and professional standards throughout the execution of public relations and advertising research endeavors.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7"/>
        <w:gridCol w:w="1022"/>
        <w:gridCol w:w="4394"/>
        <w:gridCol w:w="638"/>
        <w:gridCol w:w="638"/>
        <w:gridCol w:w="1162"/>
      </w:tblGrid>
      <w:tr w:rsidR="00197C33" w:rsidRPr="006A6156" w:rsidTr="00BA10F9">
        <w:tc>
          <w:tcPr>
            <w:tcW w:w="9531" w:type="dxa"/>
            <w:gridSpan w:val="6"/>
            <w:shd w:val="clear" w:color="auto" w:fill="DAEEF3" w:themeFill="accent5" w:themeFillTint="33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Program Structure</w:t>
            </w:r>
          </w:p>
        </w:tc>
      </w:tr>
      <w:tr w:rsidR="00197C33" w:rsidRPr="00363554" w:rsidTr="001C2482">
        <w:tc>
          <w:tcPr>
            <w:tcW w:w="9531" w:type="dxa"/>
            <w:gridSpan w:val="6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 xml:space="preserve">Distribution of courses based on their academic disciplines along with the percentages of total program credit hours </w:t>
            </w:r>
          </w:p>
        </w:tc>
      </w:tr>
      <w:tr w:rsidR="001C2482" w:rsidRPr="00363554" w:rsidTr="001C2482">
        <w:tc>
          <w:tcPr>
            <w:tcW w:w="1677" w:type="dxa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Course Type</w:t>
            </w:r>
          </w:p>
        </w:tc>
        <w:tc>
          <w:tcPr>
            <w:tcW w:w="1022" w:type="dxa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No. of Courses</w:t>
            </w:r>
          </w:p>
        </w:tc>
        <w:tc>
          <w:tcPr>
            <w:tcW w:w="4394" w:type="dxa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Course Title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Credit Hours</w:t>
            </w:r>
          </w:p>
        </w:tc>
        <w:tc>
          <w:tcPr>
            <w:tcW w:w="1162" w:type="dxa"/>
            <w:vAlign w:val="center"/>
            <w:hideMark/>
          </w:tcPr>
          <w:p w:rsidR="00197C33" w:rsidRPr="00AE693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Percentage</w:t>
            </w:r>
          </w:p>
        </w:tc>
      </w:tr>
      <w:tr w:rsidR="001C2482" w:rsidRPr="00363554" w:rsidTr="001C2482">
        <w:tc>
          <w:tcPr>
            <w:tcW w:w="1677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General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Contemporary Communication Theories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%16.7</w:t>
            </w: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International Communication and Globalization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1677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Scientific Research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Media Research Methods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%16.7</w:t>
            </w: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Statistics for Media Studies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1677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Core specialization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Communication and Society Issues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%16.7</w:t>
            </w: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Digital Communication in Public Relations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1677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lastRenderedPageBreak/>
              <w:t>Major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Special Topics in Public Relations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12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%33.3</w:t>
            </w: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Special Topics in Advertising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Strategies for Public Relations and Advertising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1677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97C33" w:rsidRPr="00363554" w:rsidRDefault="00197C33" w:rsidP="00AE3028">
            <w:pPr>
              <w:rPr>
                <w:rFonts w:cstheme="majorBidi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Seminar in Public Relations and Advertising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38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  <w:tr w:rsidR="001C2482" w:rsidRPr="00363554" w:rsidTr="001C2482">
        <w:tc>
          <w:tcPr>
            <w:tcW w:w="7093" w:type="dxa"/>
            <w:gridSpan w:val="3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Thesis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63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116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%16.7</w:t>
            </w:r>
          </w:p>
        </w:tc>
      </w:tr>
      <w:tr w:rsidR="00197C33" w:rsidRPr="00452BAC" w:rsidTr="001C2482">
        <w:tc>
          <w:tcPr>
            <w:tcW w:w="7093" w:type="dxa"/>
            <w:gridSpan w:val="3"/>
            <w:vAlign w:val="center"/>
            <w:hideMark/>
          </w:tcPr>
          <w:p w:rsidR="00197C33" w:rsidRPr="00452BAC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Program’s Total Credit Hours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97C33" w:rsidRPr="00452BAC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36</w:t>
            </w:r>
          </w:p>
        </w:tc>
        <w:tc>
          <w:tcPr>
            <w:tcW w:w="1162" w:type="dxa"/>
            <w:vAlign w:val="center"/>
            <w:hideMark/>
          </w:tcPr>
          <w:p w:rsidR="00197C33" w:rsidRPr="00452BAC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%100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p w:rsidR="00197C33" w:rsidRPr="00363554" w:rsidRDefault="00197C33" w:rsidP="00AE3028">
      <w:pPr>
        <w:rPr>
          <w:rFonts w:cstheme="majorBidi"/>
          <w:szCs w:val="24"/>
        </w:rPr>
      </w:pPr>
    </w:p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7"/>
        <w:gridCol w:w="6065"/>
      </w:tblGrid>
      <w:tr w:rsidR="00197C33" w:rsidRPr="006A6156" w:rsidTr="00AF3EFC">
        <w:tc>
          <w:tcPr>
            <w:tcW w:w="14040" w:type="dxa"/>
            <w:gridSpan w:val="2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Study System and Mode</w:t>
            </w:r>
          </w:p>
        </w:tc>
      </w:tr>
      <w:tr w:rsidR="00197C33" w:rsidRPr="00363554" w:rsidTr="00AF3EFC">
        <w:tc>
          <w:tcPr>
            <w:tcW w:w="4815" w:type="dxa"/>
            <w:vAlign w:val="center"/>
            <w:hideMark/>
          </w:tcPr>
          <w:p w:rsidR="00197C33" w:rsidRPr="005A17FE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Study Mode</w:t>
            </w:r>
          </w:p>
        </w:tc>
        <w:tc>
          <w:tcPr>
            <w:tcW w:w="9210" w:type="dxa"/>
            <w:vAlign w:val="center"/>
            <w:hideMark/>
          </w:tcPr>
          <w:p w:rsidR="00197C33" w:rsidRPr="00363554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 xml:space="preserve">Semesters – Compulsory </w:t>
            </w:r>
          </w:p>
        </w:tc>
      </w:tr>
      <w:tr w:rsidR="00197C33" w:rsidRPr="00363554" w:rsidTr="00AF3EFC">
        <w:tc>
          <w:tcPr>
            <w:tcW w:w="4815" w:type="dxa"/>
            <w:vAlign w:val="center"/>
            <w:hideMark/>
          </w:tcPr>
          <w:p w:rsidR="00197C33" w:rsidRPr="005A17FE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 xml:space="preserve">Courses: </w:t>
            </w:r>
          </w:p>
        </w:tc>
        <w:tc>
          <w:tcPr>
            <w:tcW w:w="9210" w:type="dxa"/>
            <w:vAlign w:val="center"/>
            <w:hideMark/>
          </w:tcPr>
          <w:p w:rsidR="00197C33" w:rsidRPr="00363554" w:rsidRDefault="005A17FE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12 Compulsory Courses + Thesis.</w:t>
            </w:r>
          </w:p>
        </w:tc>
      </w:tr>
      <w:tr w:rsidR="00197C33" w:rsidRPr="00363554" w:rsidTr="00AF3EFC">
        <w:tc>
          <w:tcPr>
            <w:tcW w:w="4815" w:type="dxa"/>
            <w:vAlign w:val="center"/>
            <w:hideMark/>
          </w:tcPr>
          <w:p w:rsidR="00197C33" w:rsidRPr="005A17FE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Study System</w:t>
            </w:r>
          </w:p>
        </w:tc>
        <w:tc>
          <w:tcPr>
            <w:tcW w:w="9210" w:type="dxa"/>
            <w:vAlign w:val="center"/>
            <w:hideMark/>
          </w:tcPr>
          <w:p w:rsidR="00197C33" w:rsidRPr="00363554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Regular</w:t>
            </w:r>
          </w:p>
        </w:tc>
      </w:tr>
      <w:tr w:rsidR="00197C33" w:rsidRPr="00363554" w:rsidTr="00AF3EFC">
        <w:tc>
          <w:tcPr>
            <w:tcW w:w="4815" w:type="dxa"/>
            <w:vAlign w:val="center"/>
            <w:hideMark/>
          </w:tcPr>
          <w:p w:rsidR="00197C33" w:rsidRPr="005A17FE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Duration of the Program</w:t>
            </w:r>
          </w:p>
        </w:tc>
        <w:tc>
          <w:tcPr>
            <w:tcW w:w="9210" w:type="dxa"/>
            <w:vAlign w:val="center"/>
            <w:hideMark/>
          </w:tcPr>
          <w:p w:rsidR="00197C33" w:rsidRPr="00363554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 xml:space="preserve">Two years minimum/ three years maximum </w:t>
            </w:r>
          </w:p>
        </w:tc>
      </w:tr>
      <w:tr w:rsidR="00197C33" w:rsidRPr="00363554" w:rsidTr="00AF3EFC">
        <w:tc>
          <w:tcPr>
            <w:tcW w:w="4815" w:type="dxa"/>
            <w:vAlign w:val="center"/>
            <w:hideMark/>
          </w:tcPr>
          <w:p w:rsidR="00197C33" w:rsidRPr="005A17FE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Total Credit Hours Required for Program Completion:</w:t>
            </w:r>
          </w:p>
        </w:tc>
        <w:tc>
          <w:tcPr>
            <w:tcW w:w="9210" w:type="dxa"/>
            <w:vAlign w:val="center"/>
            <w:hideMark/>
          </w:tcPr>
          <w:p w:rsidR="00197C33" w:rsidRPr="00363554" w:rsidRDefault="00197C33" w:rsidP="00030259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36 Credit Hours</w:t>
            </w:r>
          </w:p>
        </w:tc>
      </w:tr>
    </w:tbl>
    <w:p w:rsidR="005A17FE" w:rsidRDefault="005A17FE" w:rsidP="00030259">
      <w:pPr>
        <w:rPr>
          <w:rFonts w:cstheme="majorBidi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179"/>
        <w:gridCol w:w="1163"/>
        <w:gridCol w:w="1552"/>
        <w:gridCol w:w="587"/>
        <w:gridCol w:w="72"/>
        <w:gridCol w:w="515"/>
        <w:gridCol w:w="128"/>
        <w:gridCol w:w="459"/>
        <w:gridCol w:w="161"/>
        <w:gridCol w:w="427"/>
        <w:gridCol w:w="242"/>
        <w:gridCol w:w="1629"/>
      </w:tblGrid>
      <w:tr w:rsidR="00197C33" w:rsidRPr="006A6156" w:rsidTr="009E37F3">
        <w:tc>
          <w:tcPr>
            <w:tcW w:w="9502" w:type="dxa"/>
            <w:gridSpan w:val="13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Program Study Plan:</w:t>
            </w:r>
          </w:p>
        </w:tc>
      </w:tr>
      <w:tr w:rsidR="00197C33" w:rsidRPr="006A6156" w:rsidTr="00923B0F">
        <w:tc>
          <w:tcPr>
            <w:tcW w:w="9502" w:type="dxa"/>
            <w:gridSpan w:val="13"/>
            <w:shd w:val="clear" w:color="auto" w:fill="FDE9D9" w:themeFill="accent6" w:themeFillTint="33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Strong"/>
                <w:rFonts w:asciiTheme="majorBidi" w:hAnsiTheme="majorBidi"/>
                <w:sz w:val="28"/>
              </w:rPr>
              <w:t>First Year – First Semester</w:t>
            </w:r>
          </w:p>
        </w:tc>
      </w:tr>
      <w:tr w:rsidR="00197C33" w:rsidRPr="009E37F3" w:rsidTr="00BA10F9">
        <w:tc>
          <w:tcPr>
            <w:tcW w:w="388" w:type="dxa"/>
            <w:vMerge w:val="restart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SN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Courses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 Type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Code/ No.</w:t>
            </w:r>
          </w:p>
        </w:tc>
        <w:tc>
          <w:tcPr>
            <w:tcW w:w="2349" w:type="dxa"/>
            <w:gridSpan w:val="7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Credit Hours</w:t>
            </w:r>
          </w:p>
        </w:tc>
        <w:tc>
          <w:tcPr>
            <w:tcW w:w="1871" w:type="dxa"/>
            <w:gridSpan w:val="2"/>
            <w:vMerge w:val="restart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Responsible Department</w:t>
            </w:r>
          </w:p>
        </w:tc>
      </w:tr>
      <w:tr w:rsidR="00197C33" w:rsidRPr="009E37F3" w:rsidTr="00BA10F9">
        <w:trPr>
          <w:cantSplit/>
          <w:trHeight w:val="1475"/>
        </w:trPr>
        <w:tc>
          <w:tcPr>
            <w:tcW w:w="388" w:type="dxa"/>
            <w:vMerge/>
            <w:vAlign w:val="center"/>
            <w:hideMark/>
          </w:tcPr>
          <w:p w:rsidR="00197C33" w:rsidRPr="009E37F3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197C33" w:rsidRPr="009E37F3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197C33" w:rsidRPr="009E37F3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197C33" w:rsidRPr="009E37F3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587" w:type="dxa"/>
            <w:textDirection w:val="btLr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Theoretical</w:t>
            </w:r>
          </w:p>
        </w:tc>
        <w:tc>
          <w:tcPr>
            <w:tcW w:w="587" w:type="dxa"/>
            <w:gridSpan w:val="2"/>
            <w:textDirection w:val="btLr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Seminar</w:t>
            </w:r>
          </w:p>
        </w:tc>
        <w:tc>
          <w:tcPr>
            <w:tcW w:w="587" w:type="dxa"/>
            <w:gridSpan w:val="2"/>
            <w:textDirection w:val="btLr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Practical</w:t>
            </w:r>
          </w:p>
        </w:tc>
        <w:tc>
          <w:tcPr>
            <w:tcW w:w="588" w:type="dxa"/>
            <w:gridSpan w:val="2"/>
            <w:textDirection w:val="btLr"/>
            <w:vAlign w:val="center"/>
            <w:hideMark/>
          </w:tcPr>
          <w:p w:rsidR="00197C33" w:rsidRPr="009E37F3" w:rsidRDefault="00197C33" w:rsidP="00AE302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Training</w:t>
            </w:r>
          </w:p>
        </w:tc>
        <w:tc>
          <w:tcPr>
            <w:tcW w:w="1871" w:type="dxa"/>
            <w:gridSpan w:val="2"/>
            <w:vMerge/>
            <w:vAlign w:val="center"/>
            <w:hideMark/>
          </w:tcPr>
          <w:p w:rsidR="00197C33" w:rsidRPr="009E37F3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7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Media Research Methods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General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MA.PRA.601</w:t>
            </w:r>
          </w:p>
        </w:tc>
        <w:tc>
          <w:tcPr>
            <w:tcW w:w="587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Faculty of Mass Communication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8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Contemporary Communication Theories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General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MA.PRA.602</w:t>
            </w:r>
          </w:p>
        </w:tc>
        <w:tc>
          <w:tcPr>
            <w:tcW w:w="587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Faculty of Mass Communication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9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Communication and Society Issues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Core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MA.PRA.603</w:t>
            </w:r>
          </w:p>
        </w:tc>
        <w:tc>
          <w:tcPr>
            <w:tcW w:w="587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4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Special Topics in Public Relations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Major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MA.PRA.604</w:t>
            </w:r>
          </w:p>
        </w:tc>
        <w:tc>
          <w:tcPr>
            <w:tcW w:w="587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5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1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Strategies for Public Relations and Advertising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Major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MA.PRA.605</w:t>
            </w:r>
          </w:p>
        </w:tc>
        <w:tc>
          <w:tcPr>
            <w:tcW w:w="587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AE3028" w:rsidTr="009E37F3">
        <w:tc>
          <w:tcPr>
            <w:tcW w:w="2567" w:type="dxa"/>
            <w:gridSpan w:val="2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Total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5 Courses</w:t>
            </w:r>
          </w:p>
        </w:tc>
        <w:tc>
          <w:tcPr>
            <w:tcW w:w="2349" w:type="dxa"/>
            <w:gridSpan w:val="7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15 Credit Hours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</w:tr>
      <w:tr w:rsidR="00197C33" w:rsidRPr="006A6156" w:rsidTr="00923B0F">
        <w:tc>
          <w:tcPr>
            <w:tcW w:w="9502" w:type="dxa"/>
            <w:gridSpan w:val="13"/>
            <w:shd w:val="clear" w:color="auto" w:fill="FDE9D9" w:themeFill="accent6" w:themeFillTint="33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lastRenderedPageBreak/>
              <w:t>First Year – Second Semester</w:t>
            </w:r>
          </w:p>
        </w:tc>
      </w:tr>
      <w:tr w:rsidR="00197C33" w:rsidRPr="00AE3028" w:rsidTr="00BA10F9">
        <w:tc>
          <w:tcPr>
            <w:tcW w:w="388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SN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Courses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 Type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Code/ No.</w:t>
            </w:r>
          </w:p>
        </w:tc>
        <w:tc>
          <w:tcPr>
            <w:tcW w:w="2591" w:type="dxa"/>
            <w:gridSpan w:val="8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Credit Hours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Responsible Department</w:t>
            </w:r>
          </w:p>
        </w:tc>
      </w:tr>
      <w:tr w:rsidR="00197C33" w:rsidRPr="00AE3028" w:rsidTr="00BA10F9">
        <w:trPr>
          <w:cantSplit/>
          <w:trHeight w:val="1421"/>
        </w:trPr>
        <w:tc>
          <w:tcPr>
            <w:tcW w:w="388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659" w:type="dxa"/>
            <w:gridSpan w:val="2"/>
            <w:textDirection w:val="btLr"/>
            <w:vAlign w:val="center"/>
            <w:hideMark/>
          </w:tcPr>
          <w:p w:rsidR="00197C33" w:rsidRPr="00AE3028" w:rsidRDefault="00197C33" w:rsidP="00BA10F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Theoretical</w:t>
            </w:r>
          </w:p>
        </w:tc>
        <w:tc>
          <w:tcPr>
            <w:tcW w:w="643" w:type="dxa"/>
            <w:gridSpan w:val="2"/>
            <w:textDirection w:val="btLr"/>
            <w:vAlign w:val="center"/>
            <w:hideMark/>
          </w:tcPr>
          <w:p w:rsidR="00197C33" w:rsidRPr="00AE3028" w:rsidRDefault="00197C33" w:rsidP="00BA10F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Seminar</w:t>
            </w:r>
          </w:p>
        </w:tc>
        <w:tc>
          <w:tcPr>
            <w:tcW w:w="620" w:type="dxa"/>
            <w:gridSpan w:val="2"/>
            <w:textDirection w:val="btLr"/>
            <w:vAlign w:val="center"/>
            <w:hideMark/>
          </w:tcPr>
          <w:p w:rsidR="00197C33" w:rsidRPr="00AE3028" w:rsidRDefault="00197C33" w:rsidP="00BA10F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Practical</w:t>
            </w:r>
          </w:p>
        </w:tc>
        <w:tc>
          <w:tcPr>
            <w:tcW w:w="669" w:type="dxa"/>
            <w:gridSpan w:val="2"/>
            <w:textDirection w:val="btLr"/>
            <w:vAlign w:val="center"/>
            <w:hideMark/>
          </w:tcPr>
          <w:p w:rsidR="00197C33" w:rsidRPr="00AE3028" w:rsidRDefault="00197C33" w:rsidP="00BA10F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Training</w:t>
            </w:r>
          </w:p>
        </w:tc>
        <w:tc>
          <w:tcPr>
            <w:tcW w:w="1629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International Communication and Globalization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General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MA.PRA.606</w:t>
            </w:r>
          </w:p>
        </w:tc>
        <w:tc>
          <w:tcPr>
            <w:tcW w:w="659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43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Faculty of Mass Communication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3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Statistics for Media Studies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General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MA.PRA.607</w:t>
            </w:r>
          </w:p>
        </w:tc>
        <w:tc>
          <w:tcPr>
            <w:tcW w:w="659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43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Faculty of Mass Communication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Digital Communication in Public Relations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Core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MA.PRA.608</w:t>
            </w:r>
          </w:p>
        </w:tc>
        <w:tc>
          <w:tcPr>
            <w:tcW w:w="659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43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4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5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Special Topics in Advertising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Major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MA.PRA.609</w:t>
            </w:r>
          </w:p>
        </w:tc>
        <w:tc>
          <w:tcPr>
            <w:tcW w:w="659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643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5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923B0F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hyperlink r:id="rId16" w:history="1">
              <w:r w:rsidR="00E71FA1">
                <w:rPr>
                  <w:rStyle w:val="Strong"/>
                  <w:rFonts w:asciiTheme="majorBidi" w:hAnsiTheme="majorBidi"/>
                  <w:b w:val="0"/>
                  <w:color w:val="0000FF"/>
                  <w:u w:val="single"/>
                </w:rPr>
                <w:t>Seminar in Public Relations and Advertising</w:t>
              </w:r>
            </w:hyperlink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Major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MA.PRA.610</w:t>
            </w:r>
          </w:p>
        </w:tc>
        <w:tc>
          <w:tcPr>
            <w:tcW w:w="65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363554" w:rsidTr="009E37F3">
        <w:tc>
          <w:tcPr>
            <w:tcW w:w="2567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Total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5 Courses</w:t>
            </w:r>
          </w:p>
        </w:tc>
        <w:tc>
          <w:tcPr>
            <w:tcW w:w="2591" w:type="dxa"/>
            <w:gridSpan w:val="8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15 Credit Hours</w:t>
            </w: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</w:tr>
    </w:tbl>
    <w:p w:rsidR="0016779A" w:rsidRDefault="0016779A">
      <w:pPr>
        <w:rPr>
          <w:rtl/>
        </w:rPr>
      </w:pPr>
    </w:p>
    <w:p w:rsidR="00E71FA1" w:rsidRDefault="00E71FA1" w:rsidP="00E71FA1">
      <w:pPr>
        <w:spacing w:after="80"/>
        <w:rPr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179"/>
        <w:gridCol w:w="1163"/>
        <w:gridCol w:w="1552"/>
        <w:gridCol w:w="659"/>
        <w:gridCol w:w="643"/>
        <w:gridCol w:w="620"/>
        <w:gridCol w:w="669"/>
        <w:gridCol w:w="1629"/>
      </w:tblGrid>
      <w:tr w:rsidR="00197C33" w:rsidRPr="006A6156" w:rsidTr="00923B0F">
        <w:tc>
          <w:tcPr>
            <w:tcW w:w="9502" w:type="dxa"/>
            <w:gridSpan w:val="9"/>
            <w:shd w:val="clear" w:color="auto" w:fill="FDE9D9" w:themeFill="accent6" w:themeFillTint="33"/>
            <w:vAlign w:val="center"/>
            <w:hideMark/>
          </w:tcPr>
          <w:p w:rsidR="00197C33" w:rsidRPr="006A6156" w:rsidRDefault="00197C33" w:rsidP="00AE3028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Second year</w:t>
            </w:r>
          </w:p>
        </w:tc>
      </w:tr>
      <w:tr w:rsidR="00197C33" w:rsidRPr="00AE3028" w:rsidTr="00BA10F9">
        <w:tc>
          <w:tcPr>
            <w:tcW w:w="388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SN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Courses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Course Type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Code/ No.</w:t>
            </w:r>
          </w:p>
        </w:tc>
        <w:tc>
          <w:tcPr>
            <w:tcW w:w="2591" w:type="dxa"/>
            <w:gridSpan w:val="4"/>
            <w:vAlign w:val="center"/>
            <w:hideMark/>
          </w:tcPr>
          <w:p w:rsidR="00197C33" w:rsidRPr="00AE3028" w:rsidRDefault="00AE3028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/>
                <w:b/>
              </w:rPr>
              <w:t xml:space="preserve"> 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197C33" w:rsidRPr="00AE3028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Responsible Department</w:t>
            </w:r>
          </w:p>
        </w:tc>
      </w:tr>
      <w:tr w:rsidR="00197C33" w:rsidRPr="00AE3028" w:rsidTr="00BA10F9">
        <w:trPr>
          <w:cantSplit/>
          <w:trHeight w:val="1493"/>
        </w:trPr>
        <w:tc>
          <w:tcPr>
            <w:tcW w:w="388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659" w:type="dxa"/>
            <w:textDirection w:val="btLr"/>
            <w:vAlign w:val="center"/>
            <w:hideMark/>
          </w:tcPr>
          <w:p w:rsidR="00197C33" w:rsidRPr="00AE3028" w:rsidRDefault="00197C33" w:rsidP="001569B2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Theoretical</w:t>
            </w:r>
          </w:p>
        </w:tc>
        <w:tc>
          <w:tcPr>
            <w:tcW w:w="643" w:type="dxa"/>
            <w:textDirection w:val="btLr"/>
            <w:vAlign w:val="center"/>
            <w:hideMark/>
          </w:tcPr>
          <w:p w:rsidR="00197C33" w:rsidRPr="00AE3028" w:rsidRDefault="00197C33" w:rsidP="001569B2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Seminar</w:t>
            </w:r>
          </w:p>
        </w:tc>
        <w:tc>
          <w:tcPr>
            <w:tcW w:w="620" w:type="dxa"/>
            <w:textDirection w:val="btLr"/>
            <w:vAlign w:val="center"/>
            <w:hideMark/>
          </w:tcPr>
          <w:p w:rsidR="00197C33" w:rsidRPr="00AE3028" w:rsidRDefault="00197C33" w:rsidP="001569B2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Practical</w:t>
            </w:r>
          </w:p>
        </w:tc>
        <w:tc>
          <w:tcPr>
            <w:tcW w:w="669" w:type="dxa"/>
            <w:textDirection w:val="btLr"/>
            <w:vAlign w:val="center"/>
            <w:hideMark/>
          </w:tcPr>
          <w:p w:rsidR="00197C33" w:rsidRPr="00AE3028" w:rsidRDefault="00197C33" w:rsidP="001569B2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Training</w:t>
            </w:r>
          </w:p>
        </w:tc>
        <w:tc>
          <w:tcPr>
            <w:tcW w:w="1629" w:type="dxa"/>
            <w:vMerge/>
            <w:vAlign w:val="center"/>
            <w:hideMark/>
          </w:tcPr>
          <w:p w:rsidR="00197C33" w:rsidRPr="00AE3028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</w:tr>
      <w:tr w:rsidR="00197C33" w:rsidRPr="00363554" w:rsidTr="00BA10F9">
        <w:tc>
          <w:tcPr>
            <w:tcW w:w="388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</w:t>
            </w:r>
          </w:p>
        </w:tc>
        <w:tc>
          <w:tcPr>
            <w:tcW w:w="217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Thesis</w:t>
            </w:r>
          </w:p>
        </w:tc>
        <w:tc>
          <w:tcPr>
            <w:tcW w:w="116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Major</w:t>
            </w:r>
          </w:p>
        </w:tc>
        <w:tc>
          <w:tcPr>
            <w:tcW w:w="1552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MA.PRA.611</w:t>
            </w:r>
          </w:p>
        </w:tc>
        <w:tc>
          <w:tcPr>
            <w:tcW w:w="659" w:type="dxa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43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12</w:t>
            </w:r>
          </w:p>
        </w:tc>
        <w:tc>
          <w:tcPr>
            <w:tcW w:w="620" w:type="dxa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197C33" w:rsidRPr="00363554" w:rsidRDefault="00197C33" w:rsidP="00AE3028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197C33" w:rsidRPr="00363554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Department of Public Relations and Advertising</w:t>
            </w:r>
          </w:p>
        </w:tc>
      </w:tr>
      <w:tr w:rsidR="00197C33" w:rsidRPr="001569B2" w:rsidTr="009E37F3">
        <w:tc>
          <w:tcPr>
            <w:tcW w:w="2567" w:type="dxa"/>
            <w:gridSpan w:val="2"/>
            <w:vAlign w:val="center"/>
            <w:hideMark/>
          </w:tcPr>
          <w:p w:rsidR="00197C33" w:rsidRPr="001569B2" w:rsidRDefault="00197C33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Total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197C33" w:rsidRPr="001569B2" w:rsidRDefault="00197C33" w:rsidP="001569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1 Course</w:t>
            </w:r>
          </w:p>
        </w:tc>
        <w:tc>
          <w:tcPr>
            <w:tcW w:w="2591" w:type="dxa"/>
            <w:gridSpan w:val="4"/>
            <w:vAlign w:val="center"/>
            <w:hideMark/>
          </w:tcPr>
          <w:p w:rsidR="00197C33" w:rsidRPr="001569B2" w:rsidRDefault="00197C33" w:rsidP="001569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6 credit hours</w:t>
            </w:r>
          </w:p>
        </w:tc>
        <w:tc>
          <w:tcPr>
            <w:tcW w:w="1629" w:type="dxa"/>
            <w:vAlign w:val="center"/>
            <w:hideMark/>
          </w:tcPr>
          <w:p w:rsidR="00197C33" w:rsidRPr="001569B2" w:rsidRDefault="00197C33" w:rsidP="00AE3028">
            <w:pPr>
              <w:jc w:val="center"/>
              <w:rPr>
                <w:rFonts w:cstheme="majorBidi"/>
                <w:b/>
                <w:bCs/>
                <w:szCs w:val="24"/>
              </w:rPr>
            </w:pPr>
          </w:p>
        </w:tc>
      </w:tr>
      <w:tr w:rsidR="00197C33" w:rsidRPr="00363554" w:rsidTr="009E37F3">
        <w:tc>
          <w:tcPr>
            <w:tcW w:w="5282" w:type="dxa"/>
            <w:gridSpan w:val="4"/>
            <w:vAlign w:val="center"/>
            <w:hideMark/>
          </w:tcPr>
          <w:p w:rsidR="00197C33" w:rsidRPr="001569B2" w:rsidRDefault="001569B2" w:rsidP="00AE302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Program’s Total Credit Hours</w:t>
            </w:r>
          </w:p>
        </w:tc>
        <w:tc>
          <w:tcPr>
            <w:tcW w:w="4220" w:type="dxa"/>
            <w:gridSpan w:val="5"/>
            <w:vAlign w:val="center"/>
            <w:hideMark/>
          </w:tcPr>
          <w:p w:rsidR="00197C33" w:rsidRPr="001569B2" w:rsidRDefault="00197C33" w:rsidP="001569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36 Credit Hours</w:t>
            </w:r>
          </w:p>
        </w:tc>
      </w:tr>
    </w:tbl>
    <w:p w:rsidR="00FD6A6A" w:rsidRDefault="00FD6A6A" w:rsidP="0016779A">
      <w:pPr>
        <w:rPr>
          <w:rFonts w:cstheme="majorBidi"/>
          <w:szCs w:val="24"/>
        </w:rPr>
      </w:pPr>
    </w:p>
    <w:p w:rsidR="00BA10F9" w:rsidRDefault="00BA10F9" w:rsidP="0016779A">
      <w:pPr>
        <w:rPr>
          <w:rFonts w:cstheme="majorBidi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1"/>
        <w:gridCol w:w="4681"/>
      </w:tblGrid>
      <w:tr w:rsidR="00197C33" w:rsidRPr="00FD6A6A" w:rsidTr="00923B0F">
        <w:tc>
          <w:tcPr>
            <w:tcW w:w="9502" w:type="dxa"/>
            <w:gridSpan w:val="2"/>
            <w:shd w:val="clear" w:color="auto" w:fill="DAEEF3" w:themeFill="accent5" w:themeFillTint="33"/>
            <w:vAlign w:val="center"/>
            <w:hideMark/>
          </w:tcPr>
          <w:p w:rsidR="00197C33" w:rsidRPr="00FD6A6A" w:rsidRDefault="00197C33" w:rsidP="00AE302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Grading System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Excellent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 xml:space="preserve">90 – 100 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Very Good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FD6A6A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80 – 89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lastRenderedPageBreak/>
              <w:t>Good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75 – 79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Pass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65 – 74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Weak/ Failed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FD6A6A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&gt; 65</w:t>
            </w:r>
          </w:p>
        </w:tc>
      </w:tr>
      <w:tr w:rsidR="00197C33" w:rsidRPr="00363554" w:rsidTr="00FD6A6A">
        <w:tc>
          <w:tcPr>
            <w:tcW w:w="482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 xml:space="preserve">Weight of course assessments in the final grade calculation for awarding the degree </w:t>
            </w:r>
          </w:p>
        </w:tc>
        <w:tc>
          <w:tcPr>
            <w:tcW w:w="4681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60%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832"/>
        <w:gridCol w:w="2192"/>
      </w:tblGrid>
      <w:tr w:rsidR="00197C33" w:rsidRPr="006A6156" w:rsidTr="00923B0F">
        <w:tc>
          <w:tcPr>
            <w:tcW w:w="14400" w:type="dxa"/>
            <w:gridSpan w:val="3"/>
            <w:shd w:val="clear" w:color="auto" w:fill="DAEEF3" w:themeFill="accent5" w:themeFillTint="33"/>
            <w:vAlign w:val="center"/>
            <w:hideMark/>
          </w:tcPr>
          <w:p w:rsidR="00197C33" w:rsidRPr="006A6156" w:rsidRDefault="00197C33" w:rsidP="00FD6A6A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Grading System for Thesis Evaluation</w:t>
            </w:r>
          </w:p>
        </w:tc>
      </w:tr>
      <w:tr w:rsidR="00197C33" w:rsidRPr="00FD6A6A" w:rsidTr="00AF3EFC">
        <w:tc>
          <w:tcPr>
            <w:tcW w:w="570" w:type="dxa"/>
            <w:vAlign w:val="center"/>
            <w:hideMark/>
          </w:tcPr>
          <w:p w:rsidR="00197C33" w:rsidRPr="00FD6A6A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SN</w:t>
            </w:r>
          </w:p>
        </w:tc>
        <w:tc>
          <w:tcPr>
            <w:tcW w:w="10935" w:type="dxa"/>
            <w:vAlign w:val="center"/>
            <w:hideMark/>
          </w:tcPr>
          <w:p w:rsidR="00197C33" w:rsidRPr="00FD6A6A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Examiner</w:t>
            </w:r>
          </w:p>
        </w:tc>
        <w:tc>
          <w:tcPr>
            <w:tcW w:w="2895" w:type="dxa"/>
            <w:vAlign w:val="center"/>
            <w:hideMark/>
          </w:tcPr>
          <w:p w:rsidR="00197C33" w:rsidRPr="00FD6A6A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/>
              </w:rPr>
              <w:t>Distribution of evaluation marks</w:t>
            </w:r>
          </w:p>
        </w:tc>
      </w:tr>
      <w:tr w:rsidR="00197C33" w:rsidRPr="00363554" w:rsidTr="00AF3EFC">
        <w:tc>
          <w:tcPr>
            <w:tcW w:w="570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1</w:t>
            </w:r>
          </w:p>
        </w:tc>
        <w:tc>
          <w:tcPr>
            <w:tcW w:w="1093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 xml:space="preserve">Thesis Supervisor </w:t>
            </w:r>
          </w:p>
        </w:tc>
        <w:tc>
          <w:tcPr>
            <w:tcW w:w="289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%10</w:t>
            </w:r>
          </w:p>
        </w:tc>
      </w:tr>
      <w:tr w:rsidR="00197C33" w:rsidRPr="00363554" w:rsidTr="00AF3EFC">
        <w:tc>
          <w:tcPr>
            <w:tcW w:w="570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2</w:t>
            </w:r>
          </w:p>
        </w:tc>
        <w:tc>
          <w:tcPr>
            <w:tcW w:w="1093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Internal Examiner (a teaching staff member from the Department of Public Relations and Advertising)</w:t>
            </w:r>
          </w:p>
        </w:tc>
        <w:tc>
          <w:tcPr>
            <w:tcW w:w="289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%15</w:t>
            </w:r>
          </w:p>
        </w:tc>
      </w:tr>
      <w:tr w:rsidR="00197C33" w:rsidRPr="00363554" w:rsidTr="00AF3EFC">
        <w:tc>
          <w:tcPr>
            <w:tcW w:w="570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3</w:t>
            </w:r>
          </w:p>
        </w:tc>
        <w:tc>
          <w:tcPr>
            <w:tcW w:w="1093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External Examiner (a teaching staff member from another university with a qualification in Public Relations, Advertising, or Mass Communication)</w:t>
            </w:r>
          </w:p>
        </w:tc>
        <w:tc>
          <w:tcPr>
            <w:tcW w:w="289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%15</w:t>
            </w:r>
          </w:p>
        </w:tc>
      </w:tr>
      <w:tr w:rsidR="00197C33" w:rsidRPr="00363554" w:rsidTr="00AF3EFC">
        <w:tc>
          <w:tcPr>
            <w:tcW w:w="11505" w:type="dxa"/>
            <w:gridSpan w:val="2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The percentage of the thesis evaluation out of the total final evaluation for awarding the degree</w:t>
            </w:r>
          </w:p>
        </w:tc>
        <w:tc>
          <w:tcPr>
            <w:tcW w:w="2895" w:type="dxa"/>
            <w:vAlign w:val="center"/>
            <w:hideMark/>
          </w:tcPr>
          <w:p w:rsidR="00197C33" w:rsidRPr="00363554" w:rsidRDefault="00197C33" w:rsidP="0016779A">
            <w:pPr>
              <w:pStyle w:val="NormalWeb"/>
              <w:spacing w:before="60" w:beforeAutospacing="0" w:after="6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%40</w:t>
            </w:r>
          </w:p>
        </w:tc>
      </w:tr>
    </w:tbl>
    <w:p w:rsidR="00197C33" w:rsidRPr="00363554" w:rsidRDefault="00197C33" w:rsidP="00AE3028">
      <w:pPr>
        <w:rPr>
          <w:rFonts w:cstheme="majorBid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16"/>
      </w:tblGrid>
      <w:tr w:rsidR="00197C33" w:rsidRPr="006A6156" w:rsidTr="00923B0F">
        <w:tc>
          <w:tcPr>
            <w:tcW w:w="14220" w:type="dxa"/>
            <w:shd w:val="clear" w:color="auto" w:fill="DAEEF3" w:themeFill="accent5" w:themeFillTint="33"/>
            <w:vAlign w:val="center"/>
            <w:hideMark/>
          </w:tcPr>
          <w:p w:rsidR="00197C33" w:rsidRPr="006A6156" w:rsidRDefault="00FD6A6A" w:rsidP="00FD6A6A">
            <w:pPr>
              <w:pStyle w:val="NormalWeb"/>
              <w:spacing w:before="120" w:beforeAutospacing="0" w:after="120" w:afterAutospacing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asciiTheme="majorBidi" w:hAnsiTheme="majorBidi"/>
                <w:sz w:val="28"/>
              </w:rPr>
              <w:t>Admission Requirements:</w:t>
            </w:r>
          </w:p>
        </w:tc>
      </w:tr>
      <w:tr w:rsidR="00197C33" w:rsidRPr="00363554" w:rsidTr="00E14329">
        <w:tc>
          <w:tcPr>
            <w:tcW w:w="14220" w:type="dxa"/>
            <w:vAlign w:val="center"/>
            <w:hideMark/>
          </w:tcPr>
          <w:p w:rsidR="00197C33" w:rsidRPr="00363554" w:rsidRDefault="00197C33" w:rsidP="00381C1B">
            <w:pPr>
              <w:pStyle w:val="NormalWeb"/>
              <w:spacing w:before="0" w:beforeAutospacing="0" w:after="12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In accordance with Articles 12 &amp; 13 of the Prime Minister’s Resolution No</w:t>
            </w:r>
            <w:proofErr w:type="gramStart"/>
            <w:r>
              <w:rPr>
                <w:rStyle w:val="Strong"/>
                <w:rFonts w:asciiTheme="majorBidi" w:hAnsiTheme="majorBidi"/>
                <w:b w:val="0"/>
              </w:rPr>
              <w:t>.(</w:t>
            </w:r>
            <w:proofErr w:type="gramEnd"/>
            <w:r>
              <w:rPr>
                <w:rStyle w:val="Strong"/>
                <w:rFonts w:asciiTheme="majorBidi" w:hAnsiTheme="majorBidi"/>
                <w:b w:val="0"/>
              </w:rPr>
              <w:t>40) of 2008 concerning the Graduate Studies System in Yemeni Universities.</w:t>
            </w:r>
          </w:p>
          <w:p w:rsidR="00197C33" w:rsidRPr="00FD6A6A" w:rsidRDefault="00FD6A6A" w:rsidP="00381C1B">
            <w:pPr>
              <w:pStyle w:val="NormalWeb"/>
              <w:spacing w:before="0" w:beforeAutospacing="0" w:after="120" w:afterAutospacing="0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</w:rPr>
              <w:t>Applicants are required to meet the following criteria for admission: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Hold a Bachelor’s degree or its equivalent in Mass Communication, with a specialization in Public Relations and Advertising, from a recognized Yemeni university or another accredited institution, with a minimum average grade of "good".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Successfully pass the entrance examinations determined by the Council.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Achieve a minimum score of 480 on the TOIFL exam, pass the Arabic language exam specifically designed by the University for this purpose, and pass the ICDL computer skills exam.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Fulfill any additional requirements specified by the Department, Faculty, and Graduate Studies Councils, ensuring they align with the provisions outlined in the Graduate Studies Regulations of Sana’a University.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Pay the prescribed tuition fees for the Master’s program.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Have no record of expulsion from any other university due to disciplinary reasons.</w:t>
            </w:r>
          </w:p>
          <w:p w:rsidR="00197C33" w:rsidRPr="00363554" w:rsidRDefault="00197C33" w:rsidP="00E14329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567" w:hanging="340"/>
              <w:jc w:val="both"/>
              <w:rPr>
                <w:rFonts w:asciiTheme="majorBidi" w:hAnsiTheme="majorBidi" w:cstheme="majorBidi"/>
              </w:rPr>
            </w:pPr>
            <w:r>
              <w:rPr>
                <w:rStyle w:val="Strong"/>
                <w:rFonts w:asciiTheme="majorBidi" w:hAnsiTheme="majorBidi"/>
                <w:b w:val="0"/>
              </w:rPr>
              <w:t>Admission to two study programs simultaneously is not permitted.</w:t>
            </w:r>
          </w:p>
        </w:tc>
      </w:tr>
    </w:tbl>
    <w:p w:rsidR="0027470D" w:rsidRPr="00363554" w:rsidRDefault="0027470D" w:rsidP="00E71FA1">
      <w:pPr>
        <w:rPr>
          <w:rFonts w:cstheme="majorBidi"/>
          <w:szCs w:val="24"/>
        </w:rPr>
      </w:pPr>
    </w:p>
    <w:sectPr w:rsidR="0027470D" w:rsidRPr="00363554" w:rsidSect="00CF470C">
      <w:pgSz w:w="11906" w:h="16838" w:code="9"/>
      <w:pgMar w:top="1440" w:right="1230" w:bottom="1440" w:left="12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47"/>
    <w:multiLevelType w:val="hybridMultilevel"/>
    <w:tmpl w:val="0F209A90"/>
    <w:lvl w:ilvl="0" w:tplc="A2566CB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E80"/>
    <w:multiLevelType w:val="hybridMultilevel"/>
    <w:tmpl w:val="CF14BEE8"/>
    <w:lvl w:ilvl="0" w:tplc="D9B69A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1E42"/>
    <w:multiLevelType w:val="hybridMultilevel"/>
    <w:tmpl w:val="887A59CE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6CAB"/>
    <w:multiLevelType w:val="multilevel"/>
    <w:tmpl w:val="7A9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9033A"/>
    <w:multiLevelType w:val="multilevel"/>
    <w:tmpl w:val="E4F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D7C17"/>
    <w:multiLevelType w:val="multilevel"/>
    <w:tmpl w:val="9E5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815C0"/>
    <w:multiLevelType w:val="multilevel"/>
    <w:tmpl w:val="24B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231EB"/>
    <w:multiLevelType w:val="multilevel"/>
    <w:tmpl w:val="A84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E1883"/>
    <w:multiLevelType w:val="multilevel"/>
    <w:tmpl w:val="015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C33F4"/>
    <w:multiLevelType w:val="multilevel"/>
    <w:tmpl w:val="85A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11DA0"/>
    <w:multiLevelType w:val="hybridMultilevel"/>
    <w:tmpl w:val="A7C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5EB0"/>
    <w:multiLevelType w:val="multilevel"/>
    <w:tmpl w:val="A99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E5CCB"/>
    <w:multiLevelType w:val="hybridMultilevel"/>
    <w:tmpl w:val="98D0E60C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5F33"/>
    <w:multiLevelType w:val="multilevel"/>
    <w:tmpl w:val="E6C8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E20BA"/>
    <w:multiLevelType w:val="hybridMultilevel"/>
    <w:tmpl w:val="5F1C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B6510"/>
    <w:multiLevelType w:val="multilevel"/>
    <w:tmpl w:val="DD24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07D34"/>
    <w:multiLevelType w:val="hybridMultilevel"/>
    <w:tmpl w:val="A248401C"/>
    <w:lvl w:ilvl="0" w:tplc="D9B69A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11DB2"/>
    <w:multiLevelType w:val="hybridMultilevel"/>
    <w:tmpl w:val="4A26FC52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C4193"/>
    <w:multiLevelType w:val="hybridMultilevel"/>
    <w:tmpl w:val="D2523B60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B55D9"/>
    <w:multiLevelType w:val="hybridMultilevel"/>
    <w:tmpl w:val="7086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23C9B"/>
    <w:multiLevelType w:val="hybridMultilevel"/>
    <w:tmpl w:val="9B86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A0BA1"/>
    <w:multiLevelType w:val="hybridMultilevel"/>
    <w:tmpl w:val="0AE0A116"/>
    <w:lvl w:ilvl="0" w:tplc="FE0846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A45D0"/>
    <w:multiLevelType w:val="multilevel"/>
    <w:tmpl w:val="1B9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44E6D"/>
    <w:multiLevelType w:val="multilevel"/>
    <w:tmpl w:val="E51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483FB4"/>
    <w:multiLevelType w:val="multilevel"/>
    <w:tmpl w:val="38E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457A02"/>
    <w:multiLevelType w:val="hybridMultilevel"/>
    <w:tmpl w:val="BD5871B4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F2297"/>
    <w:multiLevelType w:val="hybridMultilevel"/>
    <w:tmpl w:val="62F26A64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7380B"/>
    <w:multiLevelType w:val="hybridMultilevel"/>
    <w:tmpl w:val="5A1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766DB"/>
    <w:multiLevelType w:val="multilevel"/>
    <w:tmpl w:val="7AEAF8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D4FFA"/>
    <w:multiLevelType w:val="multilevel"/>
    <w:tmpl w:val="CC9C1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F71D91"/>
    <w:multiLevelType w:val="multilevel"/>
    <w:tmpl w:val="F71A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213192"/>
    <w:multiLevelType w:val="multilevel"/>
    <w:tmpl w:val="BFA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05B49"/>
    <w:multiLevelType w:val="multilevel"/>
    <w:tmpl w:val="81F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94EA8"/>
    <w:multiLevelType w:val="multilevel"/>
    <w:tmpl w:val="A78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1E2576"/>
    <w:multiLevelType w:val="multilevel"/>
    <w:tmpl w:val="C1C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977EF"/>
    <w:multiLevelType w:val="multilevel"/>
    <w:tmpl w:val="CC1E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97FCC"/>
    <w:multiLevelType w:val="multilevel"/>
    <w:tmpl w:val="370E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34397"/>
    <w:multiLevelType w:val="multilevel"/>
    <w:tmpl w:val="972E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834AF"/>
    <w:multiLevelType w:val="multilevel"/>
    <w:tmpl w:val="CE5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C59B8"/>
    <w:multiLevelType w:val="multilevel"/>
    <w:tmpl w:val="433A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648D5"/>
    <w:multiLevelType w:val="hybridMultilevel"/>
    <w:tmpl w:val="962A5632"/>
    <w:lvl w:ilvl="0" w:tplc="804A36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C4EBB"/>
    <w:multiLevelType w:val="multilevel"/>
    <w:tmpl w:val="5FE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30402"/>
    <w:multiLevelType w:val="multilevel"/>
    <w:tmpl w:val="F284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91E04"/>
    <w:multiLevelType w:val="multilevel"/>
    <w:tmpl w:val="8FB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4"/>
  </w:num>
  <w:num w:numId="5">
    <w:abstractNumId w:val="23"/>
  </w:num>
  <w:num w:numId="6">
    <w:abstractNumId w:val="35"/>
  </w:num>
  <w:num w:numId="7">
    <w:abstractNumId w:val="7"/>
  </w:num>
  <w:num w:numId="8">
    <w:abstractNumId w:val="30"/>
  </w:num>
  <w:num w:numId="9">
    <w:abstractNumId w:val="9"/>
  </w:num>
  <w:num w:numId="10">
    <w:abstractNumId w:val="34"/>
  </w:num>
  <w:num w:numId="11">
    <w:abstractNumId w:val="43"/>
  </w:num>
  <w:num w:numId="12">
    <w:abstractNumId w:val="13"/>
  </w:num>
  <w:num w:numId="13">
    <w:abstractNumId w:val="24"/>
  </w:num>
  <w:num w:numId="14">
    <w:abstractNumId w:val="11"/>
  </w:num>
  <w:num w:numId="15">
    <w:abstractNumId w:val="42"/>
  </w:num>
  <w:num w:numId="16">
    <w:abstractNumId w:val="8"/>
  </w:num>
  <w:num w:numId="17">
    <w:abstractNumId w:val="5"/>
  </w:num>
  <w:num w:numId="18">
    <w:abstractNumId w:val="6"/>
  </w:num>
  <w:num w:numId="19">
    <w:abstractNumId w:val="15"/>
  </w:num>
  <w:num w:numId="20">
    <w:abstractNumId w:val="41"/>
  </w:num>
  <w:num w:numId="21">
    <w:abstractNumId w:val="39"/>
  </w:num>
  <w:num w:numId="22">
    <w:abstractNumId w:val="37"/>
  </w:num>
  <w:num w:numId="23">
    <w:abstractNumId w:val="36"/>
  </w:num>
  <w:num w:numId="24">
    <w:abstractNumId w:val="29"/>
  </w:num>
  <w:num w:numId="25">
    <w:abstractNumId w:val="28"/>
  </w:num>
  <w:num w:numId="26">
    <w:abstractNumId w:val="22"/>
  </w:num>
  <w:num w:numId="27">
    <w:abstractNumId w:val="38"/>
  </w:num>
  <w:num w:numId="28">
    <w:abstractNumId w:val="33"/>
  </w:num>
  <w:num w:numId="29">
    <w:abstractNumId w:val="20"/>
  </w:num>
  <w:num w:numId="30">
    <w:abstractNumId w:val="10"/>
  </w:num>
  <w:num w:numId="31">
    <w:abstractNumId w:val="14"/>
  </w:num>
  <w:num w:numId="32">
    <w:abstractNumId w:val="21"/>
  </w:num>
  <w:num w:numId="33">
    <w:abstractNumId w:val="0"/>
  </w:num>
  <w:num w:numId="34">
    <w:abstractNumId w:val="2"/>
  </w:num>
  <w:num w:numId="35">
    <w:abstractNumId w:val="40"/>
  </w:num>
  <w:num w:numId="36">
    <w:abstractNumId w:val="12"/>
  </w:num>
  <w:num w:numId="37">
    <w:abstractNumId w:val="25"/>
  </w:num>
  <w:num w:numId="38">
    <w:abstractNumId w:val="26"/>
  </w:num>
  <w:num w:numId="39">
    <w:abstractNumId w:val="18"/>
  </w:num>
  <w:num w:numId="40">
    <w:abstractNumId w:val="17"/>
  </w:num>
  <w:num w:numId="41">
    <w:abstractNumId w:val="27"/>
  </w:num>
  <w:num w:numId="42">
    <w:abstractNumId w:val="16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70D"/>
    <w:rsid w:val="00012483"/>
    <w:rsid w:val="00030259"/>
    <w:rsid w:val="001130FC"/>
    <w:rsid w:val="00151718"/>
    <w:rsid w:val="001569B2"/>
    <w:rsid w:val="0016779A"/>
    <w:rsid w:val="00197C33"/>
    <w:rsid w:val="001C2482"/>
    <w:rsid w:val="001C3266"/>
    <w:rsid w:val="0023661A"/>
    <w:rsid w:val="00242DE3"/>
    <w:rsid w:val="00255DBD"/>
    <w:rsid w:val="0027470D"/>
    <w:rsid w:val="002A7727"/>
    <w:rsid w:val="00363554"/>
    <w:rsid w:val="003707F7"/>
    <w:rsid w:val="00381C1B"/>
    <w:rsid w:val="00396351"/>
    <w:rsid w:val="003F6D81"/>
    <w:rsid w:val="0044071A"/>
    <w:rsid w:val="00451017"/>
    <w:rsid w:val="00452BAC"/>
    <w:rsid w:val="00471FA5"/>
    <w:rsid w:val="0053015C"/>
    <w:rsid w:val="005728C8"/>
    <w:rsid w:val="005A17FE"/>
    <w:rsid w:val="0066379B"/>
    <w:rsid w:val="00682BB3"/>
    <w:rsid w:val="0069696C"/>
    <w:rsid w:val="006A6156"/>
    <w:rsid w:val="006B0087"/>
    <w:rsid w:val="006B182A"/>
    <w:rsid w:val="007770C2"/>
    <w:rsid w:val="008531F5"/>
    <w:rsid w:val="00923B0F"/>
    <w:rsid w:val="00947315"/>
    <w:rsid w:val="009665D5"/>
    <w:rsid w:val="00967A87"/>
    <w:rsid w:val="009E37F3"/>
    <w:rsid w:val="00AE3028"/>
    <w:rsid w:val="00AE6934"/>
    <w:rsid w:val="00AF3EFC"/>
    <w:rsid w:val="00B058EC"/>
    <w:rsid w:val="00B1775D"/>
    <w:rsid w:val="00B35CCE"/>
    <w:rsid w:val="00BA10F9"/>
    <w:rsid w:val="00BA143D"/>
    <w:rsid w:val="00C36A48"/>
    <w:rsid w:val="00C53BB6"/>
    <w:rsid w:val="00C56908"/>
    <w:rsid w:val="00C64EC8"/>
    <w:rsid w:val="00CF470C"/>
    <w:rsid w:val="00D52ED4"/>
    <w:rsid w:val="00D912D3"/>
    <w:rsid w:val="00D946ED"/>
    <w:rsid w:val="00E14329"/>
    <w:rsid w:val="00E523CA"/>
    <w:rsid w:val="00E71FA1"/>
    <w:rsid w:val="00EB2C17"/>
    <w:rsid w:val="00F26AB6"/>
    <w:rsid w:val="00F34B06"/>
    <w:rsid w:val="00FD6A6A"/>
    <w:rsid w:val="00FE173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9A"/>
    <w:pPr>
      <w:spacing w:after="0"/>
    </w:pPr>
    <w:rPr>
      <w:rFonts w:asciiTheme="majorBidi" w:hAnsiTheme="majorBidi" w:cs="Arial"/>
      <w:sz w:val="24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2747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747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470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7470D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7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7470D"/>
    <w:rPr>
      <w:b/>
      <w:bCs/>
    </w:rPr>
  </w:style>
  <w:style w:type="character" w:customStyle="1" w:styleId="elementor-icon-list-text">
    <w:name w:val="elementor-icon-list-text"/>
    <w:basedOn w:val="DefaultParagraphFont"/>
    <w:rsid w:val="0027470D"/>
  </w:style>
  <w:style w:type="character" w:styleId="Hyperlink">
    <w:name w:val="Hyperlink"/>
    <w:basedOn w:val="DefaultParagraphFont"/>
    <w:uiPriority w:val="99"/>
    <w:semiHidden/>
    <w:unhideWhenUsed/>
    <w:rsid w:val="0027470D"/>
    <w:rPr>
      <w:color w:val="0000FF"/>
      <w:u w:val="single"/>
    </w:rPr>
  </w:style>
  <w:style w:type="character" w:customStyle="1" w:styleId="elementor-grid-item">
    <w:name w:val="elementor-grid-item"/>
    <w:basedOn w:val="DefaultParagraphFont"/>
    <w:rsid w:val="0027470D"/>
  </w:style>
  <w:style w:type="character" w:customStyle="1" w:styleId="elementor-screen-only">
    <w:name w:val="elementor-screen-only"/>
    <w:basedOn w:val="DefaultParagraphFont"/>
    <w:rsid w:val="0027470D"/>
  </w:style>
  <w:style w:type="character" w:customStyle="1" w:styleId="Heading5Char">
    <w:name w:val="Heading 5 Char"/>
    <w:basedOn w:val="DefaultParagraphFont"/>
    <w:link w:val="Heading5"/>
    <w:uiPriority w:val="9"/>
    <w:rsid w:val="0039635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line">
    <w:name w:val="line"/>
    <w:basedOn w:val="DefaultParagraphFont"/>
    <w:rsid w:val="00396351"/>
  </w:style>
  <w:style w:type="character" w:styleId="FollowedHyperlink">
    <w:name w:val="FollowedHyperlink"/>
    <w:basedOn w:val="DefaultParagraphFont"/>
    <w:uiPriority w:val="99"/>
    <w:semiHidden/>
    <w:unhideWhenUsed/>
    <w:rsid w:val="00396351"/>
    <w:rPr>
      <w:color w:val="800080"/>
      <w:u w:val="single"/>
    </w:rPr>
  </w:style>
  <w:style w:type="character" w:customStyle="1" w:styleId="elementor-button-content-wrapper">
    <w:name w:val="elementor-button-content-wrapper"/>
    <w:basedOn w:val="DefaultParagraphFont"/>
    <w:rsid w:val="00396351"/>
  </w:style>
  <w:style w:type="character" w:customStyle="1" w:styleId="elementor-button-text">
    <w:name w:val="elementor-button-text"/>
    <w:basedOn w:val="DefaultParagraphFont"/>
    <w:rsid w:val="00396351"/>
  </w:style>
  <w:style w:type="character" w:styleId="Emphasis">
    <w:name w:val="Emphasis"/>
    <w:basedOn w:val="DefaultParagraphFont"/>
    <w:uiPriority w:val="20"/>
    <w:qFormat/>
    <w:rsid w:val="003F6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9B"/>
    <w:pPr>
      <w:bidi/>
    </w:pPr>
    <w:rPr>
      <w:rFonts w:cs="Arial"/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27470D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7470D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العنوان Char"/>
    <w:basedOn w:val="DefaultParagraphFont"/>
    <w:link w:val="Title"/>
    <w:uiPriority w:val="10"/>
    <w:rsid w:val="00663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3Char">
    <w:name w:val="عنوان 3 Char"/>
    <w:basedOn w:val="DefaultParagraphFont"/>
    <w:link w:val="Heading3"/>
    <w:uiPriority w:val="9"/>
    <w:rsid w:val="0027470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عنوان 4 Char"/>
    <w:basedOn w:val="DefaultParagraphFont"/>
    <w:link w:val="Heading4"/>
    <w:uiPriority w:val="9"/>
    <w:rsid w:val="0027470D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70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7470D"/>
    <w:rPr>
      <w:b/>
      <w:bCs/>
    </w:rPr>
  </w:style>
  <w:style w:type="character" w:customStyle="1" w:styleId="elementor-icon-list-text">
    <w:name w:val="elementor-icon-list-text"/>
    <w:basedOn w:val="DefaultParagraphFont"/>
    <w:rsid w:val="0027470D"/>
  </w:style>
  <w:style w:type="character" w:styleId="Hyperlink">
    <w:name w:val="Hyperlink"/>
    <w:basedOn w:val="DefaultParagraphFont"/>
    <w:uiPriority w:val="99"/>
    <w:semiHidden/>
    <w:unhideWhenUsed/>
    <w:rsid w:val="0027470D"/>
    <w:rPr>
      <w:color w:val="0000FF"/>
      <w:u w:val="single"/>
    </w:rPr>
  </w:style>
  <w:style w:type="character" w:customStyle="1" w:styleId="elementor-grid-item">
    <w:name w:val="elementor-grid-item"/>
    <w:basedOn w:val="DefaultParagraphFont"/>
    <w:rsid w:val="0027470D"/>
  </w:style>
  <w:style w:type="character" w:customStyle="1" w:styleId="elementor-screen-only">
    <w:name w:val="elementor-screen-only"/>
    <w:basedOn w:val="DefaultParagraphFont"/>
    <w:rsid w:val="0027470D"/>
  </w:style>
  <w:style w:type="character" w:customStyle="1" w:styleId="Heading5Char">
    <w:name w:val="عنوان 5 Char"/>
    <w:basedOn w:val="DefaultParagraphFont"/>
    <w:link w:val="Heading5"/>
    <w:uiPriority w:val="9"/>
    <w:rsid w:val="0039635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line">
    <w:name w:val="line"/>
    <w:basedOn w:val="DefaultParagraphFont"/>
    <w:rsid w:val="00396351"/>
  </w:style>
  <w:style w:type="character" w:styleId="FollowedHyperlink">
    <w:name w:val="FollowedHyperlink"/>
    <w:basedOn w:val="DefaultParagraphFont"/>
    <w:uiPriority w:val="99"/>
    <w:semiHidden/>
    <w:unhideWhenUsed/>
    <w:rsid w:val="00396351"/>
    <w:rPr>
      <w:color w:val="800080"/>
      <w:u w:val="single"/>
    </w:rPr>
  </w:style>
  <w:style w:type="character" w:customStyle="1" w:styleId="elementor-button-content-wrapper">
    <w:name w:val="elementor-button-content-wrapper"/>
    <w:basedOn w:val="DefaultParagraphFont"/>
    <w:rsid w:val="00396351"/>
  </w:style>
  <w:style w:type="character" w:customStyle="1" w:styleId="elementor-button-text">
    <w:name w:val="elementor-button-text"/>
    <w:basedOn w:val="DefaultParagraphFont"/>
    <w:rsid w:val="00396351"/>
  </w:style>
  <w:style w:type="character" w:styleId="Emphasis">
    <w:name w:val="Emphasis"/>
    <w:basedOn w:val="DefaultParagraphFont"/>
    <w:uiPriority w:val="20"/>
    <w:qFormat/>
    <w:rsid w:val="003F6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0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4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1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1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7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8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4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2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5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21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8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6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7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7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5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3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2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35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3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6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8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2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4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7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1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4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4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5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6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1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6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8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9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15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0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9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7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0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9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4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6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2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.edu.ye/ce/wp-content/uploads/sites/20/2023/06/&#8235;&#1575;&#1604;&#1606;&#1592;&#1585;&#1610;&#1575;&#1578;-&#1600;-&#1575;&#1604;&#1575;&#1578;&#1589;&#1575;&#1604;-&#1575;&#1604;&#1605;&#1593;&#1575;&#1589;&#1585;.pdf" TargetMode="External"/><Relationship Id="rId13" Type="http://schemas.openxmlformats.org/officeDocument/2006/relationships/hyperlink" Target="https://su.edu.ye/ce/wp-content/uploads/sites/20/2023/06/&#1578;&#1608;&#1589;&#1610;&#1601;-&#1605;&#1575;&#1583;&#1577;-&#1575;&#1604;&#1575;&#1581;&#1589;&#1575;&#1569;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.edu.ye/ce/wp-content/uploads/sites/20/2023/06/&#1605;&#1606;&#1575;&#1607;&#1580;-&#1575;&#1604;&#1576;&#1581;&#1579;-&#1600;.pdf" TargetMode="External"/><Relationship Id="rId12" Type="http://schemas.openxmlformats.org/officeDocument/2006/relationships/hyperlink" Target="https://su.edu.ye/ce/wp-content/uploads/sites/20/2023/06/&#1575;&#1604;&#1575;&#1578;&#1589;&#1575;&#1604;-&#1575;&#1604;&#1583;&#1608;&#1604;&#1610;-&#1608;&#1575;&#1604;&#1593;&#1608;&#1604;&#1605;&#1577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.edu.ye/ce/wp-content/uploads/sites/18/2023/06/&#1581;&#1604;&#1602;&#1577;-&#1576;&#1581;&#1579;-&#1600;-&#1593;&#1604;&#1575;&#1602;&#1575;&#1578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.edu.ye/ce/wp-content/uploads/sites/20/2023/06/&#1575;&#1587;&#1578;&#1585;&#1575;&#1578;&#1610;&#1580;&#1575;&#1578;-&#1593;&#1604;&#1575;&#1602;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.edu.ye/ce/wp-content/uploads/sites/20/2023/06/&#1605;&#1608;&#1590;&#1608;&#1593;&#1575;&#1578;-&#1582;&#1575;&#1589;&#1577;.pdf" TargetMode="External"/><Relationship Id="rId10" Type="http://schemas.openxmlformats.org/officeDocument/2006/relationships/hyperlink" Target="https://su.edu.ye/ce/wp-content/uploads/sites/20/2023/06/&#1605;&#1608;&#1590;&#1608;&#1593;&#1575;&#1578;-&#1582;&#1575;&#1589;&#1577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.edu.ye/ce/wp-content/uploads/sites/20/2023/06/&#1575;&#1604;&#1575;&#1578;&#1589;&#1575;&#1604;-&#1608;&#1602;&#1590;&#1575;&#1610;&#1575;.pdf" TargetMode="External"/><Relationship Id="rId14" Type="http://schemas.openxmlformats.org/officeDocument/2006/relationships/hyperlink" Target="https://su.edu.ye/ce/wp-content/uploads/sites/18/2023/06/&#1575;&#1604;&#1575;&#1578;&#1589;&#1575;&#1604;-&#1575;&#1604;&#1585;&#1602;&#1605;&#1610;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FD63-0AF3-4CA0-B0CA-69D42E41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MQ</cp:lastModifiedBy>
  <cp:revision>6</cp:revision>
  <dcterms:created xsi:type="dcterms:W3CDTF">2024-05-02T03:06:00Z</dcterms:created>
  <dcterms:modified xsi:type="dcterms:W3CDTF">2024-05-26T22:58:00Z</dcterms:modified>
</cp:coreProperties>
</file>